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260. “美妆集合店，逛出体验”——美妆集合店（调色师、WOW COLOUR类）消费体验研究（第九批）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第九批（消费金融×直播电商×健身健康×美妆个护×阅读音频×家居数码）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研究对象：逛过美妆集合店的 18—30 岁消费者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核心变量/研究问题：到店动机（试用/打卡/价格）、试妆体验、购买转化、与线上对比、复购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所属选题库：正大杯第九批30个特色选题（消费金融/直播电商/健身健康/美妆个护/阅读音频/家居数码）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集合店门店现场问卷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🔶美妆集合店业态（媒体/行业数据需核验）；✅美妆市场5189.1亿元（2026H1）；✅"体验式零售"新零售趋势（第三批新零售证据衔接）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