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273. “轻医美，悄悄变美”——轻医美（光电、注射）消费动机与安全信任研究（第十批）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研究对象：做过或考虑轻医美的 18—40 岁消费者（以女性为主）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核心变量/研究问题：消费动机（护肤/抗衰/拍照）、项目偏好、价格接受、机构选择、安全性顾虑、复购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医美机构/护肤社群渠道；与256题（美妆）区分：聚焦医疗级轻医美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✅2026年中国医美市场预计4500亿—5000亿元、非手术类占比过半、未来五年CAGR 12%—15%；✅非手术类消费人次预计5393万人次（+27.7%）；✅2026上半年医美机构净增仅100家（去年同期500家）、行业洗牌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