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222. “月子中心，值不值”——月子中心消费意愿与选择因素研究（第八批）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第八批（数字服务×绿色低碳×母婴健康×文博非遗×新体育休闲×银发婚恋）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研究对象：孕期/产后家庭（2025—2026年生育）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核心变量/研究问题：选择因素（专业护理/环境/价格）、预算区间、信息渠道、满意度、避坑意识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所属选题库：正大杯第八批30个特色选题（数字服务/绿色低碳/母婴健康/文博非遗/新体育休闲/银发婚恋）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母婴医院/月子中心/孕妈社群渠道；与83题（托育）区分：聚焦产后护理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✅月子中心2026年预计突破1000亿元（2019年约300亿）；✅西安商业化月子中心选择率2021年8.3%→2024年27.6%、3万元以上中高端年增速38.2%；✅行业痛点：37.2%强制推销/隐形加价、41.8%护理处置能力不足（调查🔶）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