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223. “产后修复，妈妈新消费”——产后修复（盆底、腹直肌、康复）服务需求研究（第八批）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第八批（数字服务×绿色低碳×母婴健康×文博非遗×新体育休闲×银发婚恋）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研究对象：产后女性（6个月—2年）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核心变量/研究问题：产后困扰、修复服务知晓、机构选择（医院vs美容院）、价格接受、效果评价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研究阶段：中期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所属选题库：正大杯第八批30个特色选题（数字服务/绿色低碳/母婴健康/文博非遗/新体育休闲/银发婚恋）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产科门诊/产后修复机构/孕妈社群渠道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🔶产后修复市场规模（行业报告需核验）；✅母婴行业8.58万亿元大盘（2026年预计）；✅国家卫健委产后康复服务规范（政策背景🔶）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