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265. “亲子阅读，成长陪伴”——亲子阅读、绘本馆消费需求研究（第九批）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第九批（消费金融×直播电商×健身健康×美妆个护×阅读音频×家居数码）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研究对象：0—8岁孩子家长（有亲子阅读习惯）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核心变量/研究问题：阅读频次、绘本购买/借阅、绘本馆/图书馆参与、智能阅读工具接受、消费支出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所属选题库：正大杯第九批30个特色选题（消费金融/直播电商/健身健康/美妆个护/阅读音频/家居数码）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绘本馆/幼儿园渠道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🔶亲子阅读市场规模（行业报告需核验）；✅全民阅读推广政策背景；✅母婴8.58万亿大盘（2026年，第八轮证据）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