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280. “宝贝周岁宴，仪式感消费”——宝宝宴、满月周岁庆典消费需求研究（第十批）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第十批（医疗健康×婚庆节庆×出行通勤×乡村县域×数字文旅银发×特色新消费）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研究对象：办过或准备办宝宝宴/百日宴/周岁宴的家庭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核心变量/研究问题：办宴动机（仪式感/人情/记录）、策划与场地消费、预算、流程定制、满意度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所属选题库：正大杯第十批30个特色选题（医疗健康/婚庆节庆/出行通勤/乡村县域/数字文旅银发/特色新消费）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宴会策划机构/母婴社群渠道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🔶宝宝宴定制服务兴起（媒体）；✅母婴行业8.58万亿元大盘（2026年）；✅"仪式感消费"趋势（情绪经济背景）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