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369. “想生不想生，生育友好路”——青年生育意愿与生育支持政策知晓研究（第十三批）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第十三批（绿色能源循环×青年婚恋家庭×健康服务×职场工作×特殊群体×城市新体验）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研究对象：18—40岁青年（已婚/未婚）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核心变量/研究问题：生育意愿（想要几个）、顾虑（经济/托育/教育/职业）、育儿补贴等政策知晓、托育信任、生育友好评价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研究阶段：中期（热点议题）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所属选题库：正大杯第十三批30个特色选题（绿色能源循环/青年婚恋家庭/健康服务/职场工作/特殊群体/城市新体验）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线上问卷+婚育门诊渠道；评委关注人口议题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✅2026政府工作报告提出建设生育友好型社会；✅购房/租房76.5%、育儿/教育61.5%为青年最主要经济压力（北师大报告）；✅托育服务支持政策（"十四五"托育规划背景）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