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385. “单亲家庭的育儿账单”——单亲家庭育儿消费与支持需求研究（第十三批）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研究对象：单亲家长（含离异/丧偶/未婚生育）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核心变量/研究问题：育儿支出结构、经济压力、育儿支持（家人/机构/社群）、政策帮扶知晓、心理负担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研究阶段：早期+中期（细分类）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单亲育儿社群线上问卷；视角新颖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🔶单亲家庭规模（学术估算需核验）；✅托育教育支持政策（"十四五"托育规划）；✅离婚冷静期后家庭结构变化（媒体背景）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