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417. “一米高度看城市”——儿童友好城市空间（乐园、设施、出行）建设需求研究（第十四批）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研究对象：带娃家庭（0—12岁儿童家长）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核心变量/研究问题：儿童公共空间评价（公园/商超/地铁）、安全与便利、儿童参与意识、建设建议、满意度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研究阶段：早期+中期（政策热点）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社区亲子群+儿童活动空间现场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✅《城市儿童友好空间建设导则》/儿童友好城市试点（发改委/住建部政策背景）；🔶儿童友好城市试点城市名单（媒体）；✅生育友好型社会（本批366-370衔接）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