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449. “月嫂育儿嫂，专业育儿”——月嫂、育儿嫂服务消费与选择研究（第十五批）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研究对象：请过月嫂/育儿嫂的家庭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核心变量/研究问题：服务内容（母婴护理/早教）、价格（月薪）、机构vs私单、资质信任、换单经历、满意度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家政机构/母婴社群渠道；与84题（家政服务）区分：聚焦母婴专业岗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🔶月嫂市场（家政行业报告需核验）；✅母婴消费8.58万亿（第八轮证据）；✅家政服务业提质扩容政策（发改委背景）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