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476. “隔代养育，消费谁说了算”——三代家庭消费决策（隔代育儿影响）研究（第十六批）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第十六批（跨境免税×新兴运动×消费维权×银发娱乐3.0×文创现场×代际家庭）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研究对象：与父母同住/隔代带娃的三代家庭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核心变量/研究问题：育儿消费决策（谁定）、代际观念冲突（早教/零食/电子产品）、消费折中方式、家庭关系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研究阶段：中期（独特视角）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所属选题库：正大杯第十六批30个特色选题（跨境免税/新兴运动/消费维权/银发娱乐3.0/文创现场/代际家庭）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社区亲子群+幼儿园渠道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🔶隔代养育研究（学术调查需核验）；✅母婴8.58万亿（第八轮证据）；✅家庭决策理论应用（学术）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