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479. “老爸的钓鱼课，老少的传承”——代际兴趣传承（钓鱼、书法、围棋）消费研究（第十六批）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第十六批（跨境免税×新兴运动×消费维权×银发娱乐3.0×文创现场×代际家庭）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研究对象：跟长辈学习兴趣技能（钓鱼/书法/棋牌/园艺）的年轻人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核心变量/研究问题：传承兴趣类型、学习动机（陪伴/文化/解压）、消费支出、代际互动质量、传承意愿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研究阶段：早期+中期（小而美）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所属选题库：正大杯第十六批30个特色选题（跨境免税/新兴运动/消费维权/银发娱乐3.0/文创现场/代际家庭）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钓鱼社群/社区兴趣组渠道；与180题（钓鱼经济）区分：聚焦代际传承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🔶钓鱼群体年轻化（"钓鱼佬"媒体议题需引原文）；✅钓鱼经济规模（第七轮已核验）；✅代际文化传承（社会背景）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