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494. “祖孙夏令营，隔代陪伴”——隔代研学、祖孙出游消费需求研究（第十七批）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第十七批（数字生活×城市服务×银发代际2.0×品质生活）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研究对象：带孙辈参加研学/出游的祖辈家庭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核心变量/研究问题：祖孙游动机、目的地（博物馆/农场）、费用承担、隔代教育理念、体力限制、满意度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所属选题库：正大杯第十七批20个特色选题（数字生活/城市服务/银发代际2.0/品质生活小确幸·收官批）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研学机构/社区渠道；与478题（亲子研学）区分：聚焦祖辈视角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🔶隔代亲子游产品（OTA"祖孙游"产品媒体）；✅研学游2亿人次（已核验）；✅"一老一小"政策（已核验）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