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86. “三孩时代，养育成本”——家庭育儿消费结构与三孩生育意愿研究（第三批）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第三批（促消费×新零售×文旅×健康×民生）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研究对象：已婚育龄人群（有0—12岁子女）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核心变量/研究问题：育儿支出结构（教育/医疗/日常）、支出压力感知、生育意愿、政策支持感知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所属选题库：正大杯第三批30个热点选题（促消费/新零售/文旅/健康/民生）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母婴社群/学校家长群渠道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✅三孩政策配套支持体系持续推进（国家卫生健康委）；✅普惠托育服务体系建设意见（国卫人口发〔2025〕6号）；🔶育儿成本占比数据待核验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