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367. “轻相亲，新样态”——青年相亲市场分化与“轻相亲”（视频、兴趣社交）接受度研究（第十三批）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研究对象：用过相亲平台/参加过相亲活动的 22—35 岁单身青年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核心变量/研究问题：渠道选择（严肃平台/视频相亲/兴趣社交）、费用与付费项目、体验与翻车经历、效率感知、脱单结果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婚恋平台用户社群+相亲角现场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✅2026线上婚恋垂直分层为四大类（严肃奔婚/高知垂直/真人视频/年轻兴趣）；✅政府工作报告：规范平台身份审核、加大普惠性婚恋服务投入、提供免费婚恋咨询；🔶"相亲角""轻相亲"现象（媒体）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