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368. “彩礼，结婚之门的坎”——彩礼负担认知与婚俗改革支持度研究（第十三批）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第十三批（绿色能源循环×青年婚恋家庭×健康服务×职场工作×特殊群体×城市新体验）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研究对象：适婚青年及家长（农村/城市）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核心变量/研究问题：彩礼金额与负担感知、地区差异、高价彩礼成因、婚俗改革知晓（民政部婚俗改革实验区）、态度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研究阶段：中期（敏感但真实）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所属选题库：正大杯第十三批30个特色选题（绿色能源循环/青年婚恋家庭/健康服务/职场工作/特殊群体/城市新体验）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社区/村镇渠道+线上问卷（匿名）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✅北师大与小红书《网络社会与青年婚恋观调查报告（2026）》：彩礼/嫁妆为青年感知第三大经济压力（53.4%）；✅62.1%受访者自认经济"完全没有准备"或"准备不足"；✅民政部婚俗改革实验区（背景）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