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36. “搭子社交，轻量陪伴”——青年“搭子”社交形态参与行为与情感需求研究（第二批）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第二批（情绪经济×AI×乡村振兴×智慧农业）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研究对象：使用"饭搭子/旅游搭子/运动搭子"等社交的青年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核心变量/研究问题：社交需求、陪伴质量、参与频率、情感满足、依赖程度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所属选题库：正大杯第二批30个热点选题（情绪经济/AI/乡村振兴/智慧农业）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兴趣社群/社交平台可抽样；属社会热点话题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 年 7 月 15 日《人工智能拟人化互动服务管理暂行办法》施行的背景下，"搭子社交"受关注；🔶搭子社交 18—24 岁用户占 65%、女性占比 30.2% 且持续上升；🔶2026-10 记者暗访"搭子"社交疑现乱象（监管风险点，可作研究价值支撑）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