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370. “婚礼预算，钱花哪了”——青年结婚成本结构与婚礼消费偏好研究（第十三批）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研究对象：近两年举办婚礼的新人家庭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核心变量/研究问题：婚礼总花费、项目占比（宴席/婚庆/婚纱/珠宝/旅游）、预算控制、简约婚礼接受、家庭支持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婚庆公司/婚礼社群渠道；与277题（Z世代简约婚礼）区分：聚焦成本结构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✅长沙简约婚礼占比68%（第十批证据）；✅超七成新人要求婚礼融入个人故事线（第十批证据）；🔶结婚平均花费（婚礼纪/婚博会数据需核验）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