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493. “黄昏恋，夕阳下的陪伴”——老年人相亲、黄昏恋婚恋消费与态度研究（第十七批）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第十七批（数字生活×城市服务×银发代际2.0×品质生活）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研究对象：参与老年相亲活动/有再婚考虑的 60+ 人群及其子女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核心变量/研究问题：黄昏恋态度、相亲渠道（公园相亲会/婚介/线上）、子女态度、财产顾虑、再婚意愿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研究阶段：早期+中期（社会议题细腻）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所属选题库：正大杯第十七批20个特色选题（数字生活/城市服务/银发代际2.0/品质生活小确幸·收官批）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老年活动中心/公园相亲角渠道；与277-280婚庆区分：聚焦老年群体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🔶"老年相亲角"（北京/上海公园相亲角媒体）；✅老龄化3.2亿（已核验）；✅银发婚恋平台（"遇兔""芳华"等媒体🔶）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