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160. “游戏直播，边看边买”——游戏直播、电竞直播打赏与消费行为研究（第五+六批）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研究对象：常看游戏/电竞直播（斗鱼/B站/虎牙）的观众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核心变量/研究问题：观看时长、打赏动机（支持主播/氛围）、打赏金额、周边购买、理性边界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主播粉丝群/直播平台用户渠道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🔶直播打赏市场规模（《中国网络表演（直播）行业发展报告》，🔶需下载）；✅网络直播治理规范（背景）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