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181. “免费短剧，刷不停”——免费微短剧（红果模式）用户消费行为与时间占用研究（第七批）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研究对象：使用免费微短剧App（红果/河马剧场等）的 18—60 岁用户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核心变量/研究问题：使用时长（日均）、上瘾感知、广告容忍度、付费转化、内容偏好、"杀时间"vs"杀精力"评价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研究阶段：中期（现象研究）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短剧用户社群+线上问卷；现象前沿（红果超爱优腾芒之和）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红果短剧日活1.68亿、超腾讯视频/爱奇艺/优酷/芒果TV四家之和、月人均单日使用125分钟、广告填充率超90%（新浪财经/澎湃）；✅2026中国微短剧市场预计破1210亿元（《中国微短剧发展报告2026》）；✅微短剧用户8.51亿（占网民66.7%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