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182. “短剧越刷越'降智'？”——微短剧内容质量感知与“降智”争议研究（第七批）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研究对象：刷过微短剧且关注内容质量的观众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核心变量/研究问题：内容质量评价（剧情/演技/价值观）、"降智"争议认同、监管期待、弃剧行为、付费意愿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研究阶段：早期（热点争议切入）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线上问卷+"红果短剧 降智"热搜话题内容分析；话题自带流量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✅"红果短剧 降智"登上百度热搜（2026-10）；✅行业爆款率仅0.16%、仅2%参与者盈利（《中国微短剧发展报告2026》）；✅2026年7月《微短剧发展管理办法》发布、微短剧进入法治化监管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