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183. “为短剧买单，值不值”——微短剧付费、广告变现模式消费者接受度研究（第七批）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研究对象：为微短剧付过费（单集/会员）或常看广告模式的用户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核心变量/研究问题：付费场景、金额接受、免费+广告vs付费模式偏好、冲动付费后悔、复购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短剧平台用户渠道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✅免费微短剧2026年约573亿元（+8%）、广告变现取代单一付费模式（《中国微短剧发展报告2026》/财联社）；✅红果广告填充率超90%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