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184. “短剧出海，文化出海”——中国微短剧出海本地化策略与海外观众接受度研究（第七批）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第七批（数字内容×银发新生活×二次元线下×新职业柔性服务×二手独居×文旅新场景）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研究对象：关注或参与短剧出海（翻译/本土制作/海外平台）的从业者与研究者、海外华人观众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核心变量/研究问题：译制vs原生剧认知、题材偏好、本土化要素（演员/价值观）、出海竞争力评价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所属选题库：正大杯第七批30个特色选题（数字内容/银发新生活/二次元线下/新职业柔性服务/二手独居/文旅新场景）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短剧出海公司访谈+海外华人社群问卷；议题新颖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年海外微短剧市场预计超60亿美元、中国出海短剧占八成以上；✅2026上半年中国出海短剧APP内购收入11.82亿美元、占市场约93%；✅原生剧占出海份额从27%升至46%、2026为"AI短剧出海元年"（海外AI短剧6.5亿美元、+550%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