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185. “AI 短剧，一键生成”——AI生成短剧（AI剧、漫剧）消费者接受度研究（第七批）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研究对象：看过AI短剧/AI漫剧的观众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核心变量/研究问题：观看动机、画质与剧情评价、AI感接受度、与传统短剧对比、付费意愿、监管认知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研究阶段：早期（前沿）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AI短剧平台（红果漫剧/腾讯火龙）用户渠道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✅AI短剧市场2026年预计超400亿元（+138%）；✅2026年4月起AI短剧"持证上岗"全面落地；✅红果免费漫剧月活3914万、腾讯火龙漫剧1078万（澎湃）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