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186. “虚拟偶像，次元破壁”——VTuber、虚拟偶像粉丝消费行为研究（第七批）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研究对象：关注虚拟主播/VTuber（A-SOUL、VR圈等）或购买其衍生品的粉丝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核心变量/研究问题：入坑动机（人设/陪伴/直播）、打赏与会员消费、衍生品支出、与真人偶像对比、情感连接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B站VTuber粉丝群/虚拟偶像超话渠道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✅中国大陆虚拟主播IP衍生品市场2025年约78.5亿元、2026年预计104.3亿元；✅AI虚拟主播行业2026年突破千亿元级（行业测算🔶）；🔶全球虚拟网红市场2025年5.49亿美元（CAGR 11.2%）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