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261. “实体书店，逆势回归”——实体书店、主题书店消费与城市阅读空间研究（第九批）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第九批（消费金融×直播电商×健身健康×美妆个护×阅读音频×家居数码）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研究对象：常去实体书店/城市书房购书或自习的读者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核心变量/研究问题：书店消费（购书/文创/咖啡）、选择因素（颜值/活动/选品）、与网购对比、停留时长、复访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所属选题库：正大杯第九批30个特色选题（消费金融/直播电商/健身健康/美妆个护/阅读音频/家居数码）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书店/书房现场问卷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🔶实体书店回暖（开卷数据需下载核对）；✅公共文化服务政策背景；✅"书店+咖啡+活动"复合经营模式（媒体）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