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262. “有声书、播客，耳朵经济”——有声书、播客、音频知识消费行为研究（第九批）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研究对象：听有声书/播客的 18—45 岁用户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核心变量/研究问题：收听场景（通勤/睡前/家务）、内容偏好（知识/娱乐/疗愈）、会员付费、时长、满意度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喜马拉雅/小宇宙等音频平台用户渠道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✅中国音乐、广播及播客总收入2025—2030年CAGR 6.2%、2030年达87亿美元；✅消费动机转向兴趣疗愈与情感共鸣（行业🔶）；🔶有声书市场规模（行业报告需核验）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