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499. “黑胶回潮，复古聆听”——黑胶唱片、复古音乐消费（磁带、CD回潮）研究（第十七批）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研究对象：购买黑胶/磁带/CD/随身听的音乐爱好者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核心变量/研究问题：收藏动机（音质/仪式感/怀旧）、购买渠道（中古/线上）、播放设备、价格、与流媒体共存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研究阶段：早期+中期（文化回潮）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黑胶店/音乐节市集渠道；与411题（怀旧消费）区分：聚焦音乐载体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🔶全球黑胶销量创新高（RIAA数据需核验）；✅中国音乐产业（音集协《中国音乐产业发展报告》🔶需下载）；✅播客/耳机音频消费6.2% CAGR（第九轮证据）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