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115. “AI 换脸，防不胜防”——深度伪造（Deepfake）风险认知与公众防护行为研究（第三批）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第四批（新奇特消费×AI新硬件×陪伴服务×文化现象×数字治理）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研究对象：18—60岁互联网用户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核心变量/研究问题：AI 换脸/声音克隆认知度、风险感知（诈骗/谣言/侵权）、防护行为（验证/举报/设置）、政策诉求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所属选题库：正大杯第四批30个特色创新选题（新奇特/AI硬件/陪伴/文化/数字治理）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线上问卷广撒网；可配合反诈宣传渠道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🔶AI 换脸诈骗案件频发（公安部/媒体公开案例，需引原文）；✅《人工智能生成合成内容标识办法》等监管文件（🔶具体文号待核验）；✅第二批20题"AIGC 内容标识认知"可作姊妹篇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