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156. “卡牌监管，未成年人防线”——未成年人集换式卡牌消费的家长态度与监管建议研究（第五+六批）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第五+六批（银发康养×宠物金融×工业文旅×祈福静经济×卡牌电竞×社区餐饮×认养农业×情绪茶饮）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研究对象：子女购买卡牌/拆卡的家长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核心变量/研究问题：消费额度、家长知晓、担忧（成瘾/攀比/盲盒概率）、监管诉求、对策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研究阶段：中期（政策窗口）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所属选题库：正大杯第五+六批60个特色选题（银发/宠物/工业文旅/祈福/静经济/卡牌/电竞/社区/认养/茶饮）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学校家长群/线下校园周边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🔶卡牌盲盒概率与未成年人保护讨论（媒体/消委会关注，需引原文）；✅《盲盒经营行为规范指引》等市场监管文件（🔶具体文号待核验）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提示：✅=官方政策/权威媒体可直接引用；🔶=行业报告/媒体线索，参赛前须下载原文核对。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