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208. “无障碍出行，看见世界”——残障人士、老年人无障碍旅游消费需求研究（第七批）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研究对象：残障人士、行动不便老人及其家属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核心变量/研究问题：出行障碍、无障碍设施评价、旅游意愿、信息无障碍、消费需求缺口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研究阶段：早期（公益特色，评委好感）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残联/特殊教育机构/老年社区渠道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🔶无障碍旅游发展为民生议题（媒体/残联报道，需引原文）；✅《无障碍环境建设法》2023年施行（法律背景）；✅文旅部门推进无障碍景区建设（政策）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