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301. “每周三小时，游戏限时令”——未成年人游戏防沉迷新政的家长认知与配合研究（第十一批）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第十一批（青少年数字保护×AI新应用×全屋智能×银发AI风险×数字素养×数字民生）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研究对象：有 6—18 岁未成年子女的家长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核心变量/研究问题：新政知晓（每周3小时/时段限制）、配合执行度、孩子对抗行为（哭闹/转移）、对防沉迷效果评价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研究阶段：中期（2026新政落地）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所属选题库：正大杯第十一批30个特色选题（青少年数字保护/AI新应用/全屋智能/银发AI风险/数字素养/数字民生）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中小学家长群/社区渠道；议题贴近老师评委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✅2026年暑期起未成年人游戏每周五、六、日20:00—21:00可登录、每周总时长≤3小时（腾讯/网易统一执行）；✅《未成年人网络保护条例》为核心的制度体系；✅"防沉迷是否真有效"社会热议（媒体）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