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303. “AI 伴侣，未成年人禁区”——AI拟人化互动服务未成年人保护研究（第十一批）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研究对象：青少年及其家长、AI陪伴产品使用者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核心变量/研究问题：AI拟人互动接触、虚拟伴侣认知、家长知晓、《办法》知晓、未成年人保护诉求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研究阶段：早期（新规热点）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学校渠道+AI产品用户社群；议题前沿、政策新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《人工智能拟人化互动服务管理暂行办法》（2026年4月）：拟人化互动服务不得向未成年人提供虚拟亲属、虚拟伴侣等虚拟亲密关系服务；向不满14周岁未成年人提供其他拟人化互动服务须取得监护人同意；✅"游戏内置AI会答应和未成年人谈恋爱吗"行业测评（新浪财经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