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304. “刷不完的短视频，看得住的娃”——未成年人短视频消费与算法保护研究（第十一批）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研究对象：有未成年子女的家长及 12—17 岁青少年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核心变量/研究问题：观看时长、内容类型（游戏/搞笑/直播）、青少年模式知晓与使用、家长管控、短视频沉迷担忧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学校/社区渠道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✅《未成年人网络保护条例》要求网络产品未成年人模式；✅短视频用户规模（CNNIC：短视频用户超10亿🔶）；🔶未成年人短视频使用调查（共青团中央报告需下载）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