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325. “青少年模式，挡得住吗”——平台青少年模式有效性评估研究（第十一批）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第十一批（青少年数字保护×AI新应用×全屋智能×银发AI风险×数字素养×数字民生）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研究对象：家长及使用过青少年模式的 12—17 岁青少年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核心变量/研究问题：模式知晓、使用情况、绕过方式（长辈代管/切换）、功能满意度（时长/内容）、改进建议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研究阶段：中期（治理议题）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所属选题库：正大杯第十一批30个特色选题（青少年数字保护/AI新应用/全屋智能/银发AI风险/数字素养/数字民生）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学校/家长群渠道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✅《未成年人网络保护条例》要求网络产品服务提供未成年人模式；✅抖音/快手青少年模式迭代（媒体🔶）；✅防沉迷系统测评（南财测评🔶）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