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373. “听见世界，无障碍阅读”——视障群体信息无障碍阅读、听书服务研究（第十三批）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研究对象：视障人士及公益机构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核心变量/研究问题：阅读渠道（听书/盲文书/电子）、障碍（版权/工具/成本）、听书使用、无障碍App评价、改进需求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研究阶段：早期+中期（公益前沿）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盲协/图书馆视障阅览室渠道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✅"视障群体无障碍阅读版权服务联合体"2024年4月成立（中宣部版权管理局、中国残联宣文部推动）；✅语音"听书"/大字体/高对比度/盲文电子书/触觉反馈阅读器普及；✅无障碍电影旁白解说实践（伊犁州案例）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