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384. “留守娃的心愿”——农村留守儿童关爱服务需求研究（第十三批）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研究对象：留守儿童（8—15岁）及其照护人（祖辈/教师）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核心变量/研究问题：情感陪伴缺口、学习支持、电子产品依赖、心理健康、节假日父母团聚、关爱服务评价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研究阶段：中期（公益+民生）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农村学校/村儿童之家渠道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🔶留守儿童规模（民政部数据需核验）；✅《未成年人保护法》与留守儿童关爱保护政策（国务院）；✅农村教育质量提升背景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