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宋体" w:hAnsi="宋体" w:eastAsia="宋体"/>
          <w:b/>
          <w:color w:val="6663B2"/>
          <w:sz w:val="30"/>
        </w:rPr>
        <w:t>003. “夕阳骑士，骑行看世界”——中老年骑行运动消费研究（获奖避雷替换）</w:t>
      </w:r>
    </w:p>
    <w:p>
      <w:pPr>
        <w:spacing w:after="240"/>
        <w:jc w:val="center"/>
      </w:pPr>
      <w:r>
        <w:rPr>
          <w:rFonts w:ascii="宋体" w:hAnsi="宋体" w:eastAsia="宋体"/>
          <w:b w:val="0"/>
          <w:color w:val="837292"/>
          <w:sz w:val="20"/>
        </w:rPr>
        <w:t>正大杯选题档案 · 2026-10 千题扩容批次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一、选题基本信息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研究对象：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核心变量/研究问题：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研究阶段：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所属选题库：正大杯千题 · 按行业分类-05_体育健身与户外运动（编号 003）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二、可行性说明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三、参考来源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✅=官方政策/权威媒体可直接引用；🔶=行业报告/媒体线索，参赛前须下载原文核对。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