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rFonts w:ascii="宋体" w:hAnsi="宋体" w:eastAsia="宋体"/>
          <w:b/>
          <w:color w:val="6663B2"/>
          <w:sz w:val="30"/>
        </w:rPr>
        <w:t>616. “带薪休假，休得休不得”——带薪年休假制度落实与职工感知研究（新增批次）</w:t>
      </w:r>
    </w:p>
    <w:p>
      <w:pPr>
        <w:spacing w:after="240"/>
        <w:jc w:val="center"/>
      </w:pPr>
      <w:r>
        <w:rPr>
          <w:rFonts w:ascii="宋体" w:hAnsi="宋体" w:eastAsia="宋体"/>
          <w:b w:val="0"/>
          <w:color w:val="837292"/>
          <w:sz w:val="20"/>
        </w:rPr>
        <w:t>正大杯选题档案 · 2026-10 千题扩容批次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一、选题基本信息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研究对象：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核心变量/研究问题：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研究阶段：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所属选题库：正大杯千题 · 按行业分类-13_职场与新就业（编号 616）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二、可行性说明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三、参考来源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✅=官方政策/权威媒体可直接引用；🔶=行业报告/媒体线索，参赛前须下载原文核对。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