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0"/>
        <w:jc w:val="center"/>
      </w:pPr>
      <w:r>
        <w:rPr>
          <w:rFonts w:ascii="宋体" w:hAnsi="宋体" w:eastAsia="宋体"/>
          <w:b/>
          <w:color w:val="6663B2"/>
          <w:sz w:val="30"/>
        </w:rPr>
        <w:t>883. “绩效面谈，KPI的恐惧”——绩效管理与目标设定（KPI、OKR）员工体验研究（新增批次）</w:t>
      </w:r>
    </w:p>
    <w:p>
      <w:pPr>
        <w:spacing w:after="240"/>
        <w:jc w:val="center"/>
      </w:pPr>
      <w:r>
        <w:rPr>
          <w:rFonts w:ascii="宋体" w:hAnsi="宋体" w:eastAsia="宋体"/>
          <w:b w:val="0"/>
          <w:color w:val="837292"/>
          <w:sz w:val="20"/>
        </w:rPr>
        <w:t>正大杯选题档案 · 2026-10 千题扩容批次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一、选题基本信息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研究对象：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核心变量/研究问题：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研究阶段：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  <w:t>所属选题库：正大杯千题 · 按行业分类-13_职场与新就业（编号 883）</w:t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二、可行性说明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80"/>
      </w:pPr>
      <w:r>
        <w:rPr>
          <w:rFonts w:ascii="宋体" w:hAnsi="宋体" w:eastAsia="宋体"/>
          <w:b/>
          <w:sz w:val="26"/>
        </w:rPr>
        <w:t>三、参考来源</w:t>
      </w:r>
    </w:p>
    <w:p>
      <w:pPr>
        <w:spacing w:after="80"/>
      </w:pPr>
      <w:r>
        <w:rPr>
          <w:rFonts w:ascii="宋体" w:hAnsi="宋体" w:eastAsia="宋体"/>
          <w:b w:val="0"/>
          <w:sz w:val="22"/>
        </w:rPr>
      </w:r>
    </w:p>
    <w:p>
      <w:pPr>
        <w:spacing w:after="160"/>
      </w:pPr>
      <w:r>
        <w:rPr>
          <w:rFonts w:ascii="宋体" w:hAnsi="宋体" w:eastAsia="宋体"/>
          <w:b w:val="0"/>
          <w:color w:val="837292"/>
          <w:sz w:val="18"/>
        </w:rPr>
        <w:t>※ ✅=官方政策/权威媒体可直接引用；🔶=行业报告/媒体线索，参赛前须下载原文核对。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