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1025. “脂肪肝门诊，肝脏减负”——脂肪肝、代谢健康门诊就诊与干预消费研究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研究对象：因脂肪肝/代谢异常就诊的患者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核心问题/变量：脂肪肝检出率（体检异常）、门诊干预（饮食/运动/药物）、减重与转氨酶改善、随访依从、与减重门诊联动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脂肪肝检出率（体检异常）、门诊干预（饮食/运动/药物）（与减重门诊联动）之间存在可检验的关系，且受群体差异（年龄/收入/地区/身份）调节（待验证）；H2：脂肪肝检出率（体检异常）、门诊干预（饮食/运动/药物）是影响与减重门诊联动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🔶脂肪肝防治与体重管理行动（卫健委）；🔶代谢门诊建设报道（须下载核验）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医院肝病/代谢科渠道+患者问卷；获奖黑名单核对：近三年无脂肪肝门诊获奖题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🔶脂肪肝防治与体重管理行动（卫健委）；🔶代谢门诊建设报道（须下载核验）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