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1045. “幽门螺杆菌，杀菌进行时”——幽门螺杆菌感染认知与规范治疗研究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研究对象：检出幽门螺杆菌阳性/接受四联治疗的人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核心问题/变量：检出途径（体检/C13呼气）、治疗依从性（14天疗程）、家人分餐习惯、根除后再感染认知、筛查意愿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检出途径（体检/C13呼气）、治疗依从性（14天疗程）（筛查意愿）之间存在可检验的关系，且受群体差异（年龄/收入/地区/身份）调节（待验证）；H2：检出途径（体检/C13呼气）、治疗依从性（14天疗程）是影响筛查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🔶幽门螺杆菌防治共识与科普（国家消化病临床中心）；🔶感染率数据（医学报告须下载核验）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体检机构渠道+患者问卷；获奖黑名单核对：近三年无幽门螺杆菌获奖题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🔶幽门螺杆菌防治共识与科普（国家消化病临床中心）；🔶感染率数据（医学报告须下载核验）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