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1057. “干眼症门诊，屏幕病”——干眼症就医与干眼护理消费研究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研究对象：就医干眼症/使用人工泪液的屏幕族（上班族、学生）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核心问题/变量：干眼症状（眼干/畏光）、就医选择（眼科门诊/理疗）、人工泪液与护理消费、视屏时长相关、缓解效果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H1：干眼症状（眼干/畏光）、就医选择（眼科门诊/理疗）显著影响缓解效果（待验证）；H2：不同人群（年龄/收入/城市等级）在上述关系中存在调节作用（待验证）。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🔶干眼症诊疗专家共识（中华医学会眼科学分会）；🔶干眼护理市场数据（须下载核验）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眼科门诊问卷+医院采访；获奖黑名单核对：近三年无干眼症获奖题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🔶干眼症诊疗专家共识（中华医学会眼科学分会）；🔶干眼护理市场数据（须下载核验）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