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1058. “尿酸高痛风，年轻人躲不掉的痛”——高尿酸血症与痛风年轻化防治研究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确定行业：11_健康医疗（选择理由：贴合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研究对象：体检尿酸高/确诊痛风的年轻人（20-40岁）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核心问题/变量：痛风年轻化感知（火锅/啤酒/饮料）、尿酸控制（饮食/药物）、降酸药依从、发作痛苦、生活方式改变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痛风年轻化感知（火锅/啤酒/饮料）、尿酸控制（饮食/药物）（生活方式改变）之间存在可检验的关系，且受群体差异（年龄/收入/地区/身份）调节（待验证）；H2：痛风年轻化感知（火锅/啤酒/饮料）、尿酸控制（饮食/药物）是影响生活方式改变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🔶高尿酸血症防治指南（中华医学会）；🔶痛风年轻化数据（医学报告须下载核验）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医院风湿科渠道+患者问卷；获奖黑名单核对：近三年无痛风获奖题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🔶高尿酸血症防治指南（中华医学会）；🔶痛风年轻化数据（医学报告须下载核验）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