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1059. “青少年心理门诊，挂号难”——青少年心理健康门诊供需与就诊研究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研究对象：为孩子挂了心理门诊（焦虑/抑郁/厌学）的家长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核心问题/变量：青少年心理问题检出（学业/社交）、心理门诊挂号难度、咨询与药物费用、学校心理室衔接、家长接纳度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青少年心理问题检出（学业/社交）、心理门诊挂号难度（家长接纳度）之间存在可检验的关系，且受群体差异（年龄/收入/地区/身份）调节（待验证）；H2：青少年心理问题检出（学业/社交）、心理门诊挂号难度是影响家长接纳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🔶青少年心理健康行动方案（教育部、卫健委）；🔶青少年心理门诊爆满报道（须下载核验）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医院心理科渠道+家长问卷；获奖黑名单核对：近三年无青少年心理门诊获奖题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🔶青少年心理健康行动方案（教育部、卫健委）；🔶青少年心理门诊爆满报道（须下载核验）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