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105. “看病带娃，儿童友好医院”——儿童友好型医院就诊服务需求研究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研究对象：为老人/家人生病使用过或了解陪诊服务的 25—55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核心问题/变量：服务需求场景（挂号/取药/陪伴检查）、信任顾虑、价格接受、使用意愿、规范诉求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需求场景（挂号/取药/陪伴检查）、信任顾虑（规范诉求）之间存在可检验的关系，且受群体差异（年龄/收入/地区/身份）调节（待验证）；H2：服务需求场景（挂号/取药/陪伴检查）、信任顾虑是影响规范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🔶陪诊服务行业规模与争议（多地媒体报道，需引用具体城市案例）；✅《关于促进家政服务业高质量发展的若干政策措施》（商务部等9部门 2026-07-13，可作政策呼应）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医院周边/社区渠道；结合独居老人、异地就医背景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🔶陪诊服务行业规模与争议（多地媒体报道，需引用具体城市案例）；✅《关于促进家政服务业高质量发展的若干政策措施》（商务部等9部门 2026-07-13，可作政策呼应）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