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1060. “中医体质辨识，你的体质档案”——中医体质辨识与个化调理消费研究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确定行业：11_健康医疗（选择理由：贴合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研究对象：做过中医体质辨识（九种体质）并调理的消费者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核心问题/变量：体质辨识渠道（体检/线上/医馆）、报告解读（偏颇体质）、调理消费（代茶饮/艾灸/膏方）、见效感知、复购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H1：体质辨识渠道（体检/线上/医馆）、报告解读（偏颇体质）显著影响复购（待验证）；H2：不同人群（年龄/收入/城市等级）在上述关系中存在调节作用（待验证）。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🔶中医体质辨识标准（国家中医药局）；🔶中医养生市场数据（行业报告须下载核验）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中医馆渠道+消费者问卷；获奖黑名单核对：近三年无中医体质辨识获奖题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🔶中医体质辨识标准（国家中医药局）；🔶中医养生市场数据（行业报告须下载核验）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