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1063. “早癌筛查，救命的早筛”——癌症早筛基因检测（消费级）使用研究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研究对象：做过消费级早癌基因筛查（ctDNA/甲基化）的用户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核心问题/变量：早筛产品选择（肠癌/肺癌/多癌种）、价格（千元-万元）、结果解读与假阳性焦虑、与传统体检替代、监管信任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H1：早筛产品选择（肠癌/肺癌/多癌种）、价格（千元-万元）显著影响监管信任（待验证）；H2：不同人群（年龄/收入/城市等级）在上述关系中存在调节作用（待验证）。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🔶基因检测与早筛产品注册监管（药监局）；🔶早筛市场规模数据（行业报告须下载核验）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早筛企业渠道+用户问卷；获奖黑名单核对：近三年无早癌基因检测获奖题（区别于889体检加项，聚焦基因早筛产品）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🔶基因检测与早筛产品注册监管（药监局）；🔶早筛市场规模数据（行业报告须下载核验）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