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1070. “过敏门诊，春天的喷嚏”——过敏性鼻炎、过敏人群就医与消费研究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研究对象：过敏季（花粉/尘螨）就医的过敏性鼻炎/皮炎患者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核心问题/变量：过敏高发（换季）、就医与用药（抗过敏药/脱敏治疗）、空气净化器/除螨消费、避开过敏原行为、反复发作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H1：过敏高发（换季）、就医与用药（抗过敏药/脱敏治疗）显著影响反复发作（待验证）；H2：不同人群（年龄/收入/城市等级）在上述关系中存在调节作用（待验证）。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🔶过敏性疾病防治指南（中华医学会）；🔶脱敏治疗与抗敏产品数据（须下载核验）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耳鼻喉科渠道+患者问卷；获奖黑名单核对：近三年无过敏就医获奖题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🔶过敏性疾病防治指南（中华医学会）；🔶脱敏治疗与抗敏产品数据（须下载核验）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